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24"/>
      </w:tblGrid>
      <w:tr>
        <w:tc>
          <w:tcPr>
            <w:tcW w:type="dxa" w:w="10224"/>
            <w:shd w:fill="F5E9DE"/>
            <w:tcBorders>
              <w:top w:val="single" w:sz="0" w:color="F5E9DE"/>
              <w:left w:val="single" w:sz="0" w:color="F5E9DE"/>
              <w:bottom w:val="single" w:sz="0" w:color="F5E9DE"/>
              <w:right w:val="single" w:sz="0" w:color="F5E9DE"/>
            </w:tcBorders>
          </w:tcPr>
          <w:p>
            <w:pPr>
              <w:spacing w:before="140" w:after="140" w:line="240" w:lineRule="auto"/>
              <w:jc w:val="center"/>
            </w:pPr>
            <w:r>
              <w:rPr>
                <w:rFonts w:ascii="Aptos" w:hAnsi="Aptos" w:eastAsia="Aptos"/>
                <w:b/>
                <w:color w:val="756B62"/>
                <w:sz w:val="20"/>
              </w:rPr>
              <w:t>PLAYGROUND TRANSITION CARD</w:t>
            </w:r>
          </w:p>
        </w:tc>
      </w:tr>
    </w:tbl>
    <w:p>
      <w:pPr>
        <w:spacing w:before="0" w:after="0" w:line="240" w:lineRule="auto"/>
      </w:pPr>
    </w:p>
    <w:p>
      <w:pPr>
        <w:spacing w:before="0" w:after="0" w:line="240" w:lineRule="auto"/>
      </w:pPr>
    </w:p>
    <w:p>
      <w:pPr>
        <w:spacing w:before="0" w:after="0" w:line="240" w:lineRule="auto"/>
      </w:pPr>
    </w:p>
    <w:p>
      <w:pPr>
        <w:spacing w:before="0" w:after="520" w:line="240" w:lineRule="auto"/>
        <w:jc w:val="center"/>
      </w:pPr>
      <w:r>
        <w:rPr>
          <w:rFonts w:ascii="Aptos" w:hAnsi="Aptos" w:eastAsia="Aptos"/>
          <w:b/>
          <w:color w:val="C98766"/>
          <w:sz w:val="26"/>
        </w:rPr>
        <w:t>CALM LITTLE HOME</w:t>
      </w:r>
    </w:p>
    <w:p>
      <w:pPr>
        <w:spacing w:before="0" w:after="360" w:line="252" w:lineRule="auto"/>
        <w:jc w:val="center"/>
      </w:pPr>
      <w:r>
        <w:rPr>
          <w:rFonts w:ascii="Aptos" w:hAnsi="Aptos" w:eastAsia="Aptos"/>
          <w:b/>
          <w:color w:val="342F2A"/>
          <w:sz w:val="54"/>
        </w:rPr>
        <w:t>Leaving the Playground Card</w:t>
      </w:r>
      <w:r/>
      <w:r>
        <w:rPr>
          <w:rFonts w:ascii="Aptos" w:hAnsi="Aptos" w:eastAsia="Aptos"/>
          <w:b/>
          <w:color w:val="342F2A"/>
          <w:sz w:val="54"/>
        </w:rPr>
      </w:r>
    </w:p>
    <w:p>
      <w:pPr>
        <w:spacing w:before="0" w:after="1200" w:line="288" w:lineRule="auto"/>
        <w:ind w:left="720" w:right="720"/>
        <w:jc w:val="center"/>
      </w:pPr>
      <w:r>
        <w:rPr>
          <w:rFonts w:ascii="Aptos" w:hAnsi="Aptos" w:eastAsia="Aptos"/>
          <w:b w:val="0"/>
          <w:color w:val="3F3A34"/>
          <w:sz w:val="26"/>
        </w:rPr>
        <w:t>3 scripts + a walk-or-help choice for the moment “time to go” becomes the hardest sentence of the afternoon.</w:t>
      </w:r>
    </w:p>
    <w:tbl>
      <w:tblPr>
        <w:tblW w:type="auto" w:w="0"/>
        <w:jc w:val="center"/>
        <w:tblLook w:firstColumn="1" w:firstRow="1" w:lastColumn="0" w:lastRow="0" w:noHBand="0" w:noVBand="1" w:val="04A0"/>
      </w:tblPr>
      <w:tblGrid>
        <w:gridCol w:w="10224"/>
      </w:tblGrid>
      <w:tr>
        <w:tc>
          <w:tcPr>
            <w:tcW w:type="dxa" w:w="10224"/>
            <w:shd w:fill="FFF9F3"/>
            <w:tcBorders>
              <w:top w:val="single" w:sz="8" w:color="E8D8CA"/>
              <w:left w:val="single" w:sz="8" w:color="E8D8CA"/>
              <w:bottom w:val="single" w:sz="8" w:color="E8D8CA"/>
              <w:right w:val="single" w:sz="8" w:color="E8D8CA"/>
            </w:tcBorders>
          </w:tcPr>
          <w:p>
            <w:pPr>
              <w:jc w:val="center"/>
            </w:pPr>
            <w:r>
              <w:rPr>
                <w:rFonts w:ascii="Aptos" w:hAnsi="Aptos" w:eastAsia="Aptos"/>
                <w:b/>
                <w:color w:val="3F3A34"/>
                <w:sz w:val="22"/>
              </w:rPr>
              <w:t>A Calm Little Home Mini Guide</w:t>
            </w:r>
          </w:p>
          <w:p>
            <w:pPr>
              <w:spacing w:before="0" w:after="80" w:line="240" w:lineRule="auto"/>
              <w:jc w:val="center"/>
            </w:pPr>
            <w:r>
              <w:rPr>
                <w:rFonts w:ascii="Aptos" w:hAnsi="Aptos" w:eastAsia="Aptos"/>
                <w:b w:val="0"/>
                <w:color w:val="756B62"/>
                <w:sz w:val="18"/>
              </w:rPr>
              <w:t>Calm words + clear follow-through for leaving the playground</w:t>
            </w:r>
          </w:p>
        </w:tc>
      </w:tr>
    </w:tbl>
    <w:p>
      <w:r>
        <w:br w:type="page"/>
      </w:r>
    </w:p>
    <w:tbl>
      <w:tblPr>
        <w:tblW w:type="auto" w:w="0"/>
        <w:jc w:val="center"/>
        <w:tblLayout w:type="fixed"/>
        <w:tblLook w:firstColumn="1" w:firstRow="1" w:lastColumn="0" w:lastRow="0" w:noHBand="0" w:noVBand="1" w:val="04A0"/>
      </w:tblPr>
      <w:tblGrid>
        <w:gridCol w:w="4464"/>
        <w:gridCol w:w="5328"/>
      </w:tblGrid>
      <w:tr>
        <w:tc>
          <w:tcPr>
            <w:tcW w:type="dxa" w:w="5112"/>
            <w:tcBorders>
              <w:bottom w:val="single" w:sz="8" w:color="E8D8CA"/>
            </w:tcBorders>
          </w:tcPr>
          <w:p>
            <w:pPr>
              <w:jc w:val="left"/>
            </w:pPr>
            <w:r>
              <w:rPr>
                <w:rFonts w:ascii="Aptos" w:hAnsi="Aptos" w:eastAsia="Aptos"/>
                <w:b/>
                <w:color w:val="3F3A34"/>
                <w:sz w:val="18"/>
              </w:rPr>
              <w:t>CALM LITTLE HOME</w:t>
            </w:r>
          </w:p>
        </w:tc>
        <w:tc>
          <w:tcPr>
            <w:tcW w:type="dxa" w:w="5112"/>
            <w:tcBorders>
              <w:bottom w:val="single" w:sz="8" w:color="E8D8CA"/>
            </w:tcBorders>
          </w:tcPr>
          <w:p>
            <w:pPr>
              <w:jc w:val="right"/>
            </w:pPr>
            <w:r>
              <w:rPr>
                <w:rFonts w:ascii="Aptos" w:hAnsi="Aptos" w:eastAsia="Aptos"/>
                <w:b/>
                <w:color w:val="756B62"/>
                <w:sz w:val="16"/>
              </w:rPr>
              <w:t>KINDER PARENTS / BRIGHTER TOMORROWS</w:t>
            </w:r>
          </w:p>
        </w:tc>
      </w:tr>
    </w:tbl>
    <w:p>
      <w:pPr>
        <w:spacing w:after="0"/>
      </w:pPr>
    </w:p>
    <w:p>
      <w:pPr>
        <w:spacing w:before="0" w:after="120" w:line="240" w:lineRule="auto"/>
      </w:pPr>
      <w:r>
        <w:rPr>
          <w:rFonts w:ascii="Aptos" w:hAnsi="Aptos" w:eastAsia="Aptos"/>
          <w:b/>
          <w:color w:val="342F2A"/>
          <w:sz w:val="40"/>
        </w:rPr>
        <w:t>Leaving gets easier when the plan gets shorter</w:t>
      </w:r>
    </w:p>
    <w:p>
      <w:pPr>
        <w:spacing w:before="0" w:after="320" w:line="276" w:lineRule="auto"/>
      </w:pPr>
      <w:r>
        <w:rPr>
          <w:rFonts w:ascii="Aptos" w:hAnsi="Aptos" w:eastAsia="Aptos"/>
          <w:b w:val="0"/>
          <w:color w:val="3F3A34"/>
          <w:sz w:val="21"/>
        </w:rPr>
        <w:t>Once the decision to leave is made, your job is not to convince your child to like it. Connect with the disappointment, state the limit, then help the transition actually happen.</w:t>
      </w: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1</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“You wish we could stay. It is time to go.”</w:t>
            </w:r>
          </w:p>
          <w:p>
            <w:pPr>
              <w:spacing w:before="0" w:after="0" w:line="240" w:lineRule="auto"/>
            </w:pPr>
            <w:r>
              <w:rPr>
                <w:rFonts w:ascii="Aptos" w:hAnsi="Aptos" w:eastAsia="Aptos"/>
                <w:b w:val="0"/>
                <w:color w:val="756B62"/>
                <w:sz w:val="17"/>
              </w:rPr>
              <w:t>Acknowledge the disappointment without reopening the decision.</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2</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“You can walk to the gate, or I will help you.”</w:t>
            </w:r>
          </w:p>
          <w:p>
            <w:pPr>
              <w:spacing w:before="0" w:after="0" w:line="240" w:lineRule="auto"/>
            </w:pPr>
            <w:r>
              <w:rPr>
                <w:rFonts w:ascii="Aptos" w:hAnsi="Aptos" w:eastAsia="Aptos"/>
                <w:b w:val="0"/>
                <w:color w:val="756B62"/>
                <w:sz w:val="17"/>
              </w:rPr>
              <w:t>A choice about how to leave - not whether you are leaving.</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3</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“You do not have to be happy about leaving. We are leaving now.”</w:t>
            </w:r>
          </w:p>
          <w:p>
            <w:pPr>
              <w:spacing w:before="0" w:after="0" w:line="240" w:lineRule="auto"/>
            </w:pPr>
            <w:r>
              <w:rPr>
                <w:rFonts w:ascii="Aptos" w:hAnsi="Aptos" w:eastAsia="Aptos"/>
                <w:b w:val="0"/>
                <w:color w:val="756B62"/>
                <w:sz w:val="17"/>
              </w:rPr>
              <w:t>Your child can protest and the transition can still move forward.</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4</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The walk-or-help choice</w:t>
            </w:r>
          </w:p>
          <w:p>
            <w:pPr>
              <w:spacing w:before="0" w:after="0" w:line="240" w:lineRule="auto"/>
            </w:pPr>
            <w:r>
              <w:rPr>
                <w:rFonts w:ascii="Aptos" w:hAnsi="Aptos" w:eastAsia="Aptos"/>
                <w:b w:val="0"/>
                <w:color w:val="756B62"/>
                <w:sz w:val="17"/>
              </w:rPr>
              <w:t>Give one clear chance: “You can walk with me, or I will help you.” Then calmly follow through.</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5</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If they drop to the ground</w:t>
            </w:r>
          </w:p>
          <w:p>
            <w:pPr>
              <w:spacing w:before="0" w:after="0" w:line="240" w:lineRule="auto"/>
            </w:pPr>
            <w:r>
              <w:rPr>
                <w:rFonts w:ascii="Aptos" w:hAnsi="Aptos" w:eastAsia="Aptos"/>
                <w:b w:val="0"/>
                <w:color w:val="756B62"/>
                <w:sz w:val="17"/>
              </w:rPr>
              <w:t>Try: “I hear you. I am going to help you leave now.” Then help the transition in the safest practical way.</w:t>
            </w:r>
          </w:p>
        </w:tc>
      </w:tr>
    </w:tbl>
    <w:p>
      <w:pPr>
        <w:spacing w:before="0" w:after="60" w:line="240" w:lineRule="auto"/>
      </w:pPr>
    </w:p>
    <w:p>
      <w:r>
        <w:br w:type="page"/>
      </w:r>
    </w:p>
    <w:tbl>
      <w:tblPr>
        <w:tblW w:type="auto" w:w="0"/>
        <w:jc w:val="center"/>
        <w:tblLayout w:type="fixed"/>
        <w:tblLook w:firstColumn="1" w:firstRow="1" w:lastColumn="0" w:lastRow="0" w:noHBand="0" w:noVBand="1" w:val="04A0"/>
      </w:tblPr>
      <w:tblGrid>
        <w:gridCol w:w="4464"/>
        <w:gridCol w:w="5328"/>
      </w:tblGrid>
      <w:tr>
        <w:tc>
          <w:tcPr>
            <w:tcW w:type="dxa" w:w="5112"/>
            <w:tcBorders>
              <w:bottom w:val="single" w:sz="8" w:color="E8D8CA"/>
            </w:tcBorders>
          </w:tcPr>
          <w:p>
            <w:pPr>
              <w:jc w:val="left"/>
            </w:pPr>
            <w:r>
              <w:rPr>
                <w:rFonts w:ascii="Aptos" w:hAnsi="Aptos" w:eastAsia="Aptos"/>
                <w:b/>
                <w:color w:val="3F3A34"/>
                <w:sz w:val="18"/>
              </w:rPr>
              <w:t>CALM LITTLE HOME</w:t>
            </w:r>
          </w:p>
        </w:tc>
        <w:tc>
          <w:tcPr>
            <w:tcW w:type="dxa" w:w="5112"/>
            <w:tcBorders>
              <w:bottom w:val="single" w:sz="8" w:color="E8D8CA"/>
            </w:tcBorders>
          </w:tcPr>
          <w:p>
            <w:pPr>
              <w:jc w:val="right"/>
            </w:pPr>
            <w:r>
              <w:rPr>
                <w:rFonts w:ascii="Aptos" w:hAnsi="Aptos" w:eastAsia="Aptos"/>
                <w:b/>
                <w:color w:val="756B62"/>
                <w:sz w:val="16"/>
              </w:rPr>
              <w:t>KINDER PARENTS / BRIGHTER TOMORROWS</w:t>
            </w:r>
          </w:p>
        </w:tc>
      </w:tr>
    </w:tbl>
    <w:p>
      <w:pPr>
        <w:spacing w:after="0"/>
      </w:pPr>
    </w:p>
    <w:p>
      <w:pPr>
        <w:spacing w:before="0" w:after="160" w:line="240" w:lineRule="auto"/>
      </w:pPr>
      <w:r>
        <w:rPr>
          <w:rFonts w:ascii="Aptos" w:hAnsi="Aptos" w:eastAsia="Aptos"/>
          <w:b/>
          <w:color w:val="342F2A"/>
          <w:sz w:val="40"/>
        </w:rPr>
        <w:t>The follow-through reminder</w:t>
      </w:r>
    </w:p>
    <w:p>
      <w:pPr>
        <w:spacing w:before="0" w:after="240" w:line="276" w:lineRule="auto"/>
      </w:pPr>
      <w:r>
        <w:rPr>
          <w:rFonts w:ascii="Aptos" w:hAnsi="Aptos" w:eastAsia="Aptos"/>
          <w:b w:val="0"/>
          <w:color w:val="3F3A34"/>
          <w:sz w:val="20"/>
        </w:rPr>
        <w:t>The words matter, but the follow-through is what makes the boundary clear. Keep the plan simple enough that you can still use it when someone is crying beside the slide.</w:t>
      </w:r>
    </w:p>
    <w:p>
      <w:pPr>
        <w:pStyle w:val="ListBullet"/>
        <w:spacing w:before="0" w:after="60" w:line="264" w:lineRule="auto"/>
      </w:pPr>
      <w:r>
        <w:rPr>
          <w:rFonts w:ascii="Aptos" w:hAnsi="Aptos" w:eastAsia="Aptos"/>
          <w:b w:val="0"/>
          <w:color w:val="3F3A34"/>
          <w:sz w:val="20"/>
        </w:rPr>
        <w:t>A transition warning can help when practical, but you do not need a perfect warning for the limit to count.</w:t>
      </w:r>
    </w:p>
    <w:p>
      <w:pPr>
        <w:pStyle w:val="ListBullet"/>
        <w:spacing w:before="0" w:after="60" w:line="264" w:lineRule="auto"/>
      </w:pPr>
      <w:r>
        <w:rPr>
          <w:rFonts w:ascii="Aptos" w:hAnsi="Aptos" w:eastAsia="Aptos"/>
          <w:b w:val="0"/>
          <w:color w:val="3F3A34"/>
          <w:sz w:val="20"/>
        </w:rPr>
        <w:t>Keep the choice inside the boundary: how to leave, not whether to leave.</w:t>
      </w:r>
    </w:p>
    <w:p>
      <w:pPr>
        <w:pStyle w:val="ListBullet"/>
        <w:spacing w:before="0" w:after="60" w:line="264" w:lineRule="auto"/>
      </w:pPr>
      <w:r>
        <w:rPr>
          <w:rFonts w:ascii="Aptos" w:hAnsi="Aptos" w:eastAsia="Aptos"/>
          <w:b w:val="0"/>
          <w:color w:val="3F3A34"/>
          <w:sz w:val="20"/>
        </w:rPr>
        <w:t>Do not add new deals after the protest starts just to make the crying stop.</w:t>
      </w:r>
    </w:p>
    <w:p>
      <w:pPr>
        <w:pStyle w:val="ListBullet"/>
        <w:spacing w:before="0" w:after="60" w:line="264" w:lineRule="auto"/>
      </w:pPr>
      <w:r>
        <w:rPr>
          <w:rFonts w:ascii="Aptos" w:hAnsi="Aptos" w:eastAsia="Aptos"/>
          <w:b w:val="0"/>
          <w:color w:val="3F3A34"/>
          <w:sz w:val="20"/>
        </w:rPr>
        <w:t>If safety becomes the priority, move first and explain later.</w:t>
      </w:r>
    </w:p>
    <w:p>
      <w:pPr>
        <w:pStyle w:val="ListBullet"/>
        <w:spacing w:before="0" w:after="60" w:line="264" w:lineRule="auto"/>
      </w:pPr>
      <w:r>
        <w:rPr>
          <w:rFonts w:ascii="Aptos" w:hAnsi="Aptos" w:eastAsia="Aptos"/>
          <w:b w:val="0"/>
          <w:color w:val="3F3A34"/>
          <w:sz w:val="20"/>
        </w:rPr>
        <w:t>Teach or problem-solve later, when you are no longer negotiating beside the swings. 😂</w:t>
      </w:r>
    </w:p>
    <w:p>
      <w:pPr>
        <w:spacing w:after="80"/>
      </w:pPr>
    </w:p>
    <w:tbl>
      <w:tblPr>
        <w:tblW w:type="auto" w:w="0"/>
        <w:jc w:val="center"/>
        <w:tblLook w:firstColumn="1" w:firstRow="1" w:lastColumn="0" w:lastRow="0" w:noHBand="0" w:noVBand="1" w:val="04A0"/>
      </w:tblPr>
      <w:tblGrid>
        <w:gridCol w:w="10224"/>
      </w:tblGrid>
      <w:tr>
        <w:tc>
          <w:tcPr>
            <w:tcW w:type="dxa" w:w="10224"/>
            <w:shd w:fill="F5E9DE"/>
            <w:tcBorders>
              <w:top w:val="single" w:sz="8" w:color="E8D8CA"/>
              <w:left w:val="single" w:sz="8" w:color="E8D8CA"/>
              <w:bottom w:val="single" w:sz="8" w:color="E8D8CA"/>
              <w:right w:val="single" w:sz="8" w:color="E8D8CA"/>
            </w:tcBorders>
          </w:tcPr>
          <w:p>
            <w:pPr>
              <w:spacing w:before="0" w:after="100" w:line="240" w:lineRule="auto"/>
            </w:pPr>
            <w:r>
              <w:rPr>
                <w:rFonts w:ascii="Aptos" w:hAnsi="Aptos" w:eastAsia="Aptos"/>
                <w:b/>
                <w:color w:val="342F2A"/>
                <w:sz w:val="26"/>
              </w:rPr>
              <w:t>Your next step</w:t>
            </w:r>
          </w:p>
          <w:p>
            <w:pPr>
              <w:spacing w:before="0" w:after="160" w:line="240" w:lineRule="auto"/>
            </w:pPr>
            <w:r>
              <w:rPr>
                <w:rFonts w:ascii="Aptos" w:hAnsi="Aptos" w:eastAsia="Aptos"/>
                <w:b w:val="0"/>
                <w:color w:val="3F3A34"/>
                <w:sz w:val="19"/>
              </w:rPr>
              <w:t>For more transition and boundary support, continue to your recommended Calm Little Home resource:</w:t>
            </w:r>
          </w:p>
          <w:p>
            <w:pPr>
              <w:jc w:val="center"/>
            </w:pPr>
            <w:r>
              <w:rPr>
                <w:rFonts w:ascii="Aptos" w:hAnsi="Aptos" w:eastAsia="Aptos"/>
                <w:b/>
                <w:color w:val="C98766"/>
                <w:sz w:val="23"/>
              </w:rPr>
              <w:t>[AFFILIATE LINK GOES HERE]</w:t>
            </w:r>
          </w:p>
          <w:p>
            <w:pPr>
              <w:spacing w:before="0" w:after="60" w:line="240" w:lineRule="auto"/>
              <w:jc w:val="center"/>
            </w:pPr>
            <w:r>
              <w:rPr>
                <w:rFonts w:ascii="Aptos" w:hAnsi="Aptos" w:eastAsia="Aptos"/>
                <w:b w:val="0"/>
                <w:color w:val="756B62"/>
                <w:sz w:val="16"/>
              </w:rPr>
              <w:t>Affiliate: replace this placeholder with your own tracked Calm Little Home link before sharing.</w:t>
            </w:r>
          </w:p>
        </w:tc>
      </w:tr>
    </w:tbl>
    <w:p>
      <w:pPr>
        <w:spacing w:before="240" w:after="0" w:line="240" w:lineRule="auto"/>
        <w:jc w:val="center"/>
      </w:pPr>
      <w:r>
        <w:rPr>
          <w:rFonts w:ascii="Aptos" w:hAnsi="Aptos" w:eastAsia="Aptos"/>
          <w:b w:val="0"/>
          <w:color w:val="756B62"/>
          <w:sz w:val="15"/>
        </w:rPr>
        <w:t>This mini guide is educational and is not a substitute for individualized medical, mental-health, or developmental care.</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color w:val="756B62"/>
        <w:sz w:val="15"/>
      </w:rPr>
      <w:t>CALM LITTLE HOME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3F3A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